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15" w:rsidRDefault="00255515" w:rsidP="00D6589B">
      <w:pPr>
        <w:numPr>
          <w:ilvl w:val="0"/>
          <w:numId w:val="23"/>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 2008</w:t>
      </w:r>
      <w:r w:rsidR="00107F76">
        <w:rPr>
          <w:rFonts w:ascii="Arial" w:hAnsi="Arial" w:cs="Arial"/>
          <w:bCs/>
          <w:spacing w:val="-3"/>
          <w:sz w:val="22"/>
          <w:szCs w:val="22"/>
        </w:rPr>
        <w:t>,</w:t>
      </w:r>
      <w:r>
        <w:rPr>
          <w:rFonts w:ascii="Arial" w:hAnsi="Arial" w:cs="Arial"/>
          <w:bCs/>
          <w:spacing w:val="-3"/>
          <w:sz w:val="22"/>
          <w:szCs w:val="22"/>
        </w:rPr>
        <w:t xml:space="preserve"> the former Queensland Government announced an oil </w:t>
      </w:r>
      <w:r w:rsidR="001A7DB6">
        <w:rPr>
          <w:rFonts w:ascii="Arial" w:hAnsi="Arial" w:cs="Arial"/>
          <w:bCs/>
          <w:spacing w:val="-3"/>
          <w:sz w:val="22"/>
          <w:szCs w:val="22"/>
        </w:rPr>
        <w:t>shale policy that included a 20 </w:t>
      </w:r>
      <w:r>
        <w:rPr>
          <w:rFonts w:ascii="Arial" w:hAnsi="Arial" w:cs="Arial"/>
          <w:bCs/>
          <w:spacing w:val="-3"/>
          <w:sz w:val="22"/>
          <w:szCs w:val="22"/>
        </w:rPr>
        <w:t>year moratorium on developing the McFarlane oil shale deposit (near Proserpine); the development of a demonstration plant by Queensland Energy Resources (QER) at the Stuart deposit near Gladstone, and that no other oil shale development would be progressed in Queensland until QER had reported to government on the technical, environmental and local community impacts of the new plant in Stuart and demonstrated the technology for extracting oil from shale.</w:t>
      </w:r>
    </w:p>
    <w:p w:rsidR="00255515" w:rsidRDefault="00255515" w:rsidP="00D6589B">
      <w:pPr>
        <w:numPr>
          <w:ilvl w:val="0"/>
          <w:numId w:val="2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In 2004, QER purchased the Stuart assets and commenced operations in September 2011 on a small scale demonstration plant</w:t>
      </w:r>
      <w:r w:rsidR="00E00530">
        <w:rPr>
          <w:rFonts w:ascii="Arial" w:hAnsi="Arial" w:cs="Arial"/>
          <w:bCs/>
          <w:spacing w:val="-3"/>
          <w:sz w:val="22"/>
          <w:szCs w:val="22"/>
        </w:rPr>
        <w:t>.  In September 2012</w:t>
      </w:r>
      <w:r>
        <w:rPr>
          <w:rFonts w:ascii="Arial" w:hAnsi="Arial" w:cs="Arial"/>
          <w:bCs/>
          <w:spacing w:val="-3"/>
          <w:sz w:val="22"/>
          <w:szCs w:val="22"/>
        </w:rPr>
        <w:t xml:space="preserve">, </w:t>
      </w:r>
      <w:r w:rsidR="00E00530">
        <w:rPr>
          <w:rFonts w:ascii="Arial" w:hAnsi="Arial" w:cs="Arial"/>
          <w:bCs/>
          <w:spacing w:val="-3"/>
          <w:sz w:val="22"/>
          <w:szCs w:val="22"/>
        </w:rPr>
        <w:t xml:space="preserve">QER </w:t>
      </w:r>
      <w:r>
        <w:rPr>
          <w:rFonts w:ascii="Arial" w:hAnsi="Arial" w:cs="Arial"/>
          <w:bCs/>
          <w:spacing w:val="-3"/>
          <w:sz w:val="22"/>
          <w:szCs w:val="22"/>
        </w:rPr>
        <w:t>submitted its final performance report to Government, with a view to gaining government acceptance for the technology, and support for commercial development of the resource.</w:t>
      </w:r>
    </w:p>
    <w:p w:rsidR="00255515" w:rsidRDefault="00255515" w:rsidP="00D6589B">
      <w:pPr>
        <w:numPr>
          <w:ilvl w:val="0"/>
          <w:numId w:val="23"/>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Government has reviewed the existing oil shale policy in the context of the QER report, the extremely limited commercial application of oil shale in </w:t>
      </w:r>
      <w:smartTag w:uri="urn:schemas-microsoft-com:office:smarttags" w:element="place">
        <w:smartTag w:uri="urn:schemas-microsoft-com:office:smarttags" w:element="country-region">
          <w:r>
            <w:rPr>
              <w:rFonts w:ascii="Arial" w:hAnsi="Arial" w:cs="Arial"/>
              <w:bCs/>
              <w:spacing w:val="-3"/>
              <w:sz w:val="22"/>
              <w:szCs w:val="22"/>
            </w:rPr>
            <w:t>Australia</w:t>
          </w:r>
        </w:smartTag>
      </w:smartTag>
      <w:r>
        <w:rPr>
          <w:rFonts w:ascii="Arial" w:hAnsi="Arial" w:cs="Arial"/>
          <w:bCs/>
          <w:spacing w:val="-3"/>
          <w:sz w:val="22"/>
          <w:szCs w:val="22"/>
        </w:rPr>
        <w:t xml:space="preserve"> and overseas, and the need for the technology to meet the environmental standards required for a commercial scale industry.</w:t>
      </w:r>
    </w:p>
    <w:p w:rsidR="00255515" w:rsidRDefault="00255515" w:rsidP="00D6589B">
      <w:pPr>
        <w:numPr>
          <w:ilvl w:val="0"/>
          <w:numId w:val="23"/>
        </w:numPr>
        <w:tabs>
          <w:tab w:val="clear" w:pos="720"/>
          <w:tab w:val="num" w:pos="360"/>
        </w:tabs>
        <w:spacing w:before="240"/>
        <w:ind w:left="360"/>
        <w:jc w:val="both"/>
        <w:rPr>
          <w:rFonts w:ascii="Arial" w:hAnsi="Arial" w:cs="Arial"/>
          <w:bCs/>
          <w:spacing w:val="-3"/>
          <w:sz w:val="22"/>
          <w:szCs w:val="22"/>
        </w:rPr>
      </w:pPr>
      <w:r w:rsidRPr="003922C5">
        <w:rPr>
          <w:rFonts w:ascii="Arial" w:hAnsi="Arial" w:cs="Arial"/>
          <w:bCs/>
          <w:spacing w:val="-3"/>
          <w:sz w:val="22"/>
          <w:szCs w:val="22"/>
          <w:u w:val="single"/>
        </w:rPr>
        <w:t>Cabinet approved</w:t>
      </w:r>
      <w:r>
        <w:rPr>
          <w:rFonts w:ascii="Arial" w:hAnsi="Arial" w:cs="Arial"/>
          <w:bCs/>
          <w:spacing w:val="-3"/>
          <w:sz w:val="22"/>
          <w:szCs w:val="22"/>
        </w:rPr>
        <w:t xml:space="preserve"> a new oil shale policy that:</w:t>
      </w:r>
    </w:p>
    <w:p w:rsidR="00255515" w:rsidRPr="00197038" w:rsidRDefault="00255515" w:rsidP="003922C5">
      <w:pPr>
        <w:numPr>
          <w:ilvl w:val="1"/>
          <w:numId w:val="28"/>
        </w:numPr>
        <w:tabs>
          <w:tab w:val="clear" w:pos="1440"/>
          <w:tab w:val="num" w:pos="900"/>
        </w:tabs>
        <w:spacing w:before="120"/>
        <w:ind w:left="896" w:hanging="539"/>
        <w:jc w:val="both"/>
        <w:rPr>
          <w:rFonts w:ascii="Arial" w:hAnsi="Arial" w:cs="Arial"/>
          <w:sz w:val="22"/>
          <w:szCs w:val="22"/>
        </w:rPr>
      </w:pPr>
      <w:r w:rsidRPr="00197038">
        <w:rPr>
          <w:rFonts w:ascii="Arial" w:hAnsi="Arial" w:cs="Arial"/>
          <w:sz w:val="22"/>
          <w:szCs w:val="22"/>
        </w:rPr>
        <w:t>recognises the strategic importance of oil shale to contribute to energy security, and encourages private sector investigation into, and investment in, high quality oil shale extraction technologies;</w:t>
      </w:r>
    </w:p>
    <w:p w:rsidR="00BB3A75" w:rsidRPr="00BB3A75" w:rsidRDefault="00BB3A75" w:rsidP="00BB3A75">
      <w:pPr>
        <w:numPr>
          <w:ilvl w:val="1"/>
          <w:numId w:val="28"/>
        </w:numPr>
        <w:tabs>
          <w:tab w:val="clear" w:pos="1440"/>
          <w:tab w:val="num" w:pos="900"/>
        </w:tabs>
        <w:spacing w:before="120"/>
        <w:ind w:left="896" w:hanging="539"/>
        <w:jc w:val="both"/>
        <w:rPr>
          <w:rFonts w:ascii="Arial" w:hAnsi="Arial" w:cs="Arial"/>
          <w:sz w:val="22"/>
          <w:szCs w:val="22"/>
        </w:rPr>
      </w:pPr>
      <w:r w:rsidRPr="00BB3A75">
        <w:rPr>
          <w:rFonts w:ascii="Arial" w:hAnsi="Arial" w:cs="Arial"/>
          <w:sz w:val="22"/>
          <w:szCs w:val="22"/>
        </w:rPr>
        <w:t xml:space="preserve">allows, in general, for the consideration and development of oil shale deposits in </w:t>
      </w:r>
      <w:smartTag w:uri="urn:schemas-microsoft-com:office:smarttags" w:element="place">
        <w:smartTag w:uri="urn:schemas-microsoft-com:office:smarttags" w:element="State">
          <w:r w:rsidRPr="00BB3A75">
            <w:rPr>
              <w:rFonts w:ascii="Arial" w:hAnsi="Arial" w:cs="Arial"/>
              <w:sz w:val="22"/>
              <w:szCs w:val="22"/>
            </w:rPr>
            <w:t>Queensland</w:t>
          </w:r>
        </w:smartTag>
      </w:smartTag>
      <w:r w:rsidRPr="00BB3A75">
        <w:rPr>
          <w:rFonts w:ascii="Arial" w:hAnsi="Arial" w:cs="Arial"/>
          <w:sz w:val="22"/>
          <w:szCs w:val="22"/>
        </w:rPr>
        <w:t xml:space="preserve"> </w:t>
      </w:r>
      <w:r>
        <w:rPr>
          <w:rFonts w:ascii="Arial" w:hAnsi="Arial" w:cs="Arial"/>
          <w:sz w:val="22"/>
          <w:szCs w:val="22"/>
        </w:rPr>
        <w:t>on a project by project basis</w:t>
      </w:r>
      <w:r w:rsidRPr="00BB3A75">
        <w:rPr>
          <w:rFonts w:ascii="Arial" w:hAnsi="Arial" w:cs="Arial"/>
          <w:sz w:val="22"/>
          <w:szCs w:val="22"/>
        </w:rPr>
        <w:t>;</w:t>
      </w:r>
    </w:p>
    <w:p w:rsidR="00BB3A75" w:rsidRPr="00BB3A75" w:rsidRDefault="00BB3A75" w:rsidP="00BB3A75">
      <w:pPr>
        <w:numPr>
          <w:ilvl w:val="1"/>
          <w:numId w:val="28"/>
        </w:numPr>
        <w:tabs>
          <w:tab w:val="clear" w:pos="1440"/>
          <w:tab w:val="num" w:pos="900"/>
        </w:tabs>
        <w:spacing w:before="120"/>
        <w:ind w:left="896" w:hanging="539"/>
        <w:jc w:val="both"/>
        <w:rPr>
          <w:rFonts w:ascii="Arial" w:hAnsi="Arial" w:cs="Arial"/>
          <w:sz w:val="22"/>
          <w:szCs w:val="22"/>
        </w:rPr>
      </w:pPr>
      <w:r w:rsidRPr="00BB3A75">
        <w:rPr>
          <w:rFonts w:ascii="Arial" w:hAnsi="Arial" w:cs="Arial"/>
          <w:sz w:val="22"/>
          <w:szCs w:val="22"/>
        </w:rPr>
        <w:t>recognises that highly theoretical and largely untested approaches to oil shale processing (such as underground retorting) have the potential to present significant environmental and financial risks to the state;</w:t>
      </w:r>
    </w:p>
    <w:p w:rsidR="00BB3A75" w:rsidRPr="00BB3A75" w:rsidRDefault="00BB3A75" w:rsidP="00BB3A75">
      <w:pPr>
        <w:numPr>
          <w:ilvl w:val="1"/>
          <w:numId w:val="28"/>
        </w:numPr>
        <w:tabs>
          <w:tab w:val="clear" w:pos="1440"/>
          <w:tab w:val="num" w:pos="900"/>
        </w:tabs>
        <w:spacing w:before="120"/>
        <w:ind w:left="896" w:hanging="539"/>
        <w:jc w:val="both"/>
        <w:rPr>
          <w:rFonts w:ascii="Arial" w:hAnsi="Arial" w:cs="Arial"/>
          <w:sz w:val="22"/>
          <w:szCs w:val="22"/>
        </w:rPr>
      </w:pPr>
      <w:r w:rsidRPr="00BB3A75">
        <w:rPr>
          <w:rFonts w:ascii="Arial" w:hAnsi="Arial" w:cs="Arial"/>
          <w:sz w:val="22"/>
          <w:szCs w:val="22"/>
        </w:rPr>
        <w:t xml:space="preserve">notes that levels of uncertainty associated with oil shale extraction means that the environmental risks, feasibility and likely performance of oil shale, proposals should be determined through a detailed environmental impact statement;  </w:t>
      </w:r>
    </w:p>
    <w:p w:rsidR="00BB3A75" w:rsidRPr="00BB3A75" w:rsidRDefault="00BB3A75" w:rsidP="00BB3A75">
      <w:pPr>
        <w:numPr>
          <w:ilvl w:val="1"/>
          <w:numId w:val="28"/>
        </w:numPr>
        <w:tabs>
          <w:tab w:val="clear" w:pos="1440"/>
          <w:tab w:val="num" w:pos="900"/>
        </w:tabs>
        <w:spacing w:before="120"/>
        <w:ind w:left="896" w:hanging="539"/>
        <w:jc w:val="both"/>
        <w:rPr>
          <w:rFonts w:ascii="Arial" w:hAnsi="Arial" w:cs="Arial"/>
          <w:sz w:val="22"/>
          <w:szCs w:val="22"/>
        </w:rPr>
      </w:pPr>
      <w:r w:rsidRPr="00BB3A75">
        <w:rPr>
          <w:rFonts w:ascii="Arial" w:hAnsi="Arial" w:cs="Arial"/>
          <w:sz w:val="22"/>
          <w:szCs w:val="22"/>
        </w:rPr>
        <w:t xml:space="preserve">encourages the incorporation of best practice environmental management and includes a trial stage where the processing technology is unproven in </w:t>
      </w:r>
      <w:smartTag w:uri="urn:schemas-microsoft-com:office:smarttags" w:element="place">
        <w:smartTag w:uri="urn:schemas-microsoft-com:office:smarttags" w:element="State">
          <w:r w:rsidRPr="00BB3A75">
            <w:rPr>
              <w:rFonts w:ascii="Arial" w:hAnsi="Arial" w:cs="Arial"/>
              <w:sz w:val="22"/>
              <w:szCs w:val="22"/>
            </w:rPr>
            <w:t>Queensland</w:t>
          </w:r>
        </w:smartTag>
      </w:smartTag>
      <w:r w:rsidRPr="00BB3A75">
        <w:rPr>
          <w:rFonts w:ascii="Arial" w:hAnsi="Arial" w:cs="Arial"/>
          <w:sz w:val="22"/>
          <w:szCs w:val="22"/>
        </w:rPr>
        <w:t>; and</w:t>
      </w:r>
    </w:p>
    <w:p w:rsidR="00BB3A75" w:rsidRPr="00BB3A75" w:rsidRDefault="00BB3A75" w:rsidP="00BB3A75">
      <w:pPr>
        <w:numPr>
          <w:ilvl w:val="1"/>
          <w:numId w:val="28"/>
        </w:numPr>
        <w:tabs>
          <w:tab w:val="clear" w:pos="1440"/>
          <w:tab w:val="num" w:pos="900"/>
        </w:tabs>
        <w:spacing w:before="120"/>
        <w:ind w:left="896" w:hanging="539"/>
        <w:jc w:val="both"/>
        <w:rPr>
          <w:rFonts w:ascii="Arial" w:hAnsi="Arial" w:cs="Arial"/>
          <w:sz w:val="22"/>
          <w:szCs w:val="22"/>
        </w:rPr>
      </w:pPr>
      <w:r w:rsidRPr="00BB3A75">
        <w:rPr>
          <w:rFonts w:ascii="Arial" w:hAnsi="Arial" w:cs="Arial"/>
          <w:sz w:val="22"/>
          <w:szCs w:val="22"/>
        </w:rPr>
        <w:t>retains the 20-year moratorium on the McFarlane deposit and that it be reviewed prior to its expiry on 17 August 2028.</w:t>
      </w:r>
    </w:p>
    <w:p w:rsidR="00255515" w:rsidRPr="00A86CEB" w:rsidRDefault="00255515" w:rsidP="004E743F">
      <w:pPr>
        <w:numPr>
          <w:ilvl w:val="0"/>
          <w:numId w:val="23"/>
        </w:numPr>
        <w:tabs>
          <w:tab w:val="clear" w:pos="720"/>
          <w:tab w:val="num" w:pos="360"/>
        </w:tabs>
        <w:spacing w:before="240"/>
        <w:ind w:left="360"/>
        <w:jc w:val="both"/>
        <w:rPr>
          <w:rFonts w:ascii="Arial" w:hAnsi="Arial" w:cs="Arial"/>
          <w:sz w:val="22"/>
          <w:szCs w:val="22"/>
        </w:rPr>
      </w:pPr>
      <w:r w:rsidRPr="003922C5">
        <w:rPr>
          <w:rFonts w:ascii="Arial" w:hAnsi="Arial" w:cs="Arial"/>
          <w:sz w:val="22"/>
          <w:szCs w:val="22"/>
          <w:u w:val="single"/>
        </w:rPr>
        <w:t>Cabinet approved</w:t>
      </w:r>
      <w:r>
        <w:rPr>
          <w:rFonts w:ascii="Arial" w:hAnsi="Arial" w:cs="Arial"/>
          <w:sz w:val="22"/>
          <w:szCs w:val="22"/>
        </w:rPr>
        <w:t xml:space="preserve"> the </w:t>
      </w:r>
      <w:r w:rsidRPr="004E743F">
        <w:rPr>
          <w:rFonts w:ascii="Arial" w:hAnsi="Arial" w:cs="Arial"/>
          <w:bCs/>
          <w:spacing w:val="-3"/>
          <w:sz w:val="22"/>
          <w:szCs w:val="22"/>
        </w:rPr>
        <w:t>public</w:t>
      </w:r>
      <w:r>
        <w:rPr>
          <w:rFonts w:ascii="Arial" w:hAnsi="Arial" w:cs="Arial"/>
          <w:sz w:val="22"/>
          <w:szCs w:val="22"/>
        </w:rPr>
        <w:t xml:space="preserve"> release of the </w:t>
      </w:r>
      <w:r w:rsidRPr="003922C5">
        <w:rPr>
          <w:rFonts w:ascii="Arial" w:hAnsi="Arial" w:cs="Arial"/>
          <w:sz w:val="22"/>
          <w:szCs w:val="22"/>
        </w:rPr>
        <w:t>Department of Environment and Heritage Protection</w:t>
      </w:r>
      <w:r w:rsidRPr="003922C5" w:rsidDel="003922C5">
        <w:rPr>
          <w:rFonts w:ascii="Arial" w:hAnsi="Arial" w:cs="Arial"/>
          <w:sz w:val="22"/>
          <w:szCs w:val="22"/>
        </w:rPr>
        <w:t xml:space="preserve"> </w:t>
      </w:r>
      <w:r>
        <w:rPr>
          <w:rFonts w:ascii="Arial" w:hAnsi="Arial" w:cs="Arial"/>
          <w:sz w:val="22"/>
          <w:szCs w:val="22"/>
        </w:rPr>
        <w:t xml:space="preserve">review, subject to removal of information that is commercial-in-confidence. </w:t>
      </w:r>
    </w:p>
    <w:p w:rsidR="00255515" w:rsidRPr="00A86CEB" w:rsidRDefault="00255515" w:rsidP="003922C5">
      <w:pPr>
        <w:numPr>
          <w:ilvl w:val="0"/>
          <w:numId w:val="23"/>
        </w:numPr>
        <w:tabs>
          <w:tab w:val="clear" w:pos="720"/>
          <w:tab w:val="num" w:pos="360"/>
        </w:tabs>
        <w:spacing w:before="360"/>
        <w:ind w:left="357" w:hanging="357"/>
        <w:jc w:val="both"/>
        <w:rPr>
          <w:rFonts w:ascii="Arial" w:hAnsi="Arial" w:cs="Arial"/>
          <w:sz w:val="22"/>
          <w:szCs w:val="22"/>
          <w:u w:val="single"/>
        </w:rPr>
      </w:pPr>
      <w:r>
        <w:rPr>
          <w:rFonts w:ascii="Arial" w:hAnsi="Arial" w:cs="Arial"/>
          <w:bCs/>
          <w:i/>
          <w:spacing w:val="-3"/>
          <w:sz w:val="22"/>
          <w:szCs w:val="22"/>
          <w:u w:val="single"/>
        </w:rPr>
        <w:t>A</w:t>
      </w:r>
      <w:r w:rsidRPr="00A86CEB">
        <w:rPr>
          <w:rFonts w:ascii="Arial" w:hAnsi="Arial" w:cs="Arial"/>
          <w:bCs/>
          <w:i/>
          <w:spacing w:val="-3"/>
          <w:sz w:val="22"/>
          <w:szCs w:val="22"/>
          <w:u w:val="single"/>
        </w:rPr>
        <w:t>ttachments</w:t>
      </w:r>
    </w:p>
    <w:p w:rsidR="00255515" w:rsidRDefault="003C5DA0" w:rsidP="00436E21">
      <w:pPr>
        <w:numPr>
          <w:ilvl w:val="1"/>
          <w:numId w:val="32"/>
        </w:numPr>
        <w:tabs>
          <w:tab w:val="clear" w:pos="1647"/>
          <w:tab w:val="num" w:pos="900"/>
        </w:tabs>
        <w:spacing w:before="120"/>
        <w:ind w:left="900" w:hanging="540"/>
        <w:jc w:val="both"/>
        <w:rPr>
          <w:rFonts w:ascii="Arial" w:hAnsi="Arial" w:cs="Arial"/>
          <w:sz w:val="22"/>
          <w:szCs w:val="22"/>
        </w:rPr>
      </w:pPr>
      <w:hyperlink r:id="rId7" w:history="1">
        <w:r w:rsidR="00255515" w:rsidRPr="00C10A9A">
          <w:rPr>
            <w:rStyle w:val="Hyperlink"/>
            <w:rFonts w:ascii="Arial" w:hAnsi="Arial" w:cs="Arial"/>
            <w:sz w:val="22"/>
            <w:szCs w:val="22"/>
          </w:rPr>
          <w:t>Oil Shale Policy</w:t>
        </w:r>
      </w:hyperlink>
      <w:r w:rsidR="00255515" w:rsidRPr="00715200">
        <w:rPr>
          <w:rFonts w:ascii="Arial" w:hAnsi="Arial" w:cs="Arial"/>
          <w:sz w:val="22"/>
          <w:szCs w:val="22"/>
        </w:rPr>
        <w:t xml:space="preserve"> </w:t>
      </w:r>
    </w:p>
    <w:p w:rsidR="00255515" w:rsidRDefault="003C5DA0" w:rsidP="00436E21">
      <w:pPr>
        <w:numPr>
          <w:ilvl w:val="1"/>
          <w:numId w:val="32"/>
        </w:numPr>
        <w:tabs>
          <w:tab w:val="clear" w:pos="1647"/>
          <w:tab w:val="num" w:pos="900"/>
        </w:tabs>
        <w:spacing w:before="120"/>
        <w:ind w:left="900" w:hanging="540"/>
        <w:jc w:val="both"/>
        <w:rPr>
          <w:rFonts w:ascii="Arial" w:hAnsi="Arial" w:cs="Arial"/>
          <w:sz w:val="22"/>
          <w:szCs w:val="22"/>
        </w:rPr>
      </w:pPr>
      <w:hyperlink r:id="rId8" w:history="1">
        <w:r w:rsidR="00255515" w:rsidRPr="00C10A9A">
          <w:rPr>
            <w:rStyle w:val="Hyperlink"/>
            <w:rFonts w:ascii="Arial" w:hAnsi="Arial" w:cs="Arial"/>
            <w:sz w:val="22"/>
            <w:szCs w:val="22"/>
          </w:rPr>
          <w:t>Department of Environment and Heritage Protection review</w:t>
        </w:r>
      </w:hyperlink>
    </w:p>
    <w:p w:rsidR="00255515" w:rsidRPr="00D6589B" w:rsidRDefault="00255515" w:rsidP="00CE12BF"/>
    <w:sectPr w:rsidR="00255515" w:rsidRPr="00D6589B" w:rsidSect="00715200">
      <w:headerReference w:type="default" r:id="rId9"/>
      <w:pgSz w:w="11906" w:h="16838"/>
      <w:pgMar w:top="1134" w:right="1134" w:bottom="1134" w:left="1134" w:header="89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F6" w:rsidRDefault="004D14F6" w:rsidP="00D6589B">
      <w:r>
        <w:separator/>
      </w:r>
    </w:p>
  </w:endnote>
  <w:endnote w:type="continuationSeparator" w:id="0">
    <w:p w:rsidR="004D14F6" w:rsidRDefault="004D14F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F6" w:rsidRDefault="004D14F6" w:rsidP="00D6589B">
      <w:r>
        <w:separator/>
      </w:r>
    </w:p>
  </w:footnote>
  <w:footnote w:type="continuationSeparator" w:id="0">
    <w:p w:rsidR="004D14F6" w:rsidRDefault="004D14F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15" w:rsidRPr="00D75134" w:rsidRDefault="0025551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255515" w:rsidRPr="00D75134" w:rsidRDefault="0025551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255515" w:rsidRPr="001E209B" w:rsidRDefault="0025551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February 2013</w:t>
    </w:r>
  </w:p>
  <w:p w:rsidR="00255515" w:rsidRDefault="00255515" w:rsidP="000D201B">
    <w:pPr>
      <w:pStyle w:val="Header"/>
      <w:tabs>
        <w:tab w:val="left" w:pos="1260"/>
      </w:tabs>
      <w:spacing w:before="120"/>
      <w:rPr>
        <w:rFonts w:ascii="Arial" w:hAnsi="Arial" w:cs="Arial"/>
        <w:b/>
        <w:sz w:val="22"/>
        <w:szCs w:val="22"/>
        <w:u w:val="single"/>
      </w:rPr>
    </w:pPr>
    <w:r>
      <w:rPr>
        <w:rFonts w:ascii="Arial" w:hAnsi="Arial" w:cs="Arial"/>
        <w:b/>
        <w:sz w:val="22"/>
        <w:szCs w:val="22"/>
      </w:rPr>
      <w:t xml:space="preserve">Development of oil shale in </w:t>
    </w:r>
    <w:smartTag w:uri="urn:schemas-microsoft-com:office:smarttags" w:element="place">
      <w:r>
        <w:rPr>
          <w:rFonts w:ascii="Arial" w:hAnsi="Arial" w:cs="Arial"/>
          <w:b/>
          <w:sz w:val="22"/>
          <w:szCs w:val="22"/>
        </w:rPr>
        <w:t>Queensland</w:t>
      </w:r>
    </w:smartTag>
    <w:r>
      <w:rPr>
        <w:rFonts w:ascii="Arial" w:hAnsi="Arial" w:cs="Arial"/>
        <w:b/>
        <w:sz w:val="22"/>
        <w:szCs w:val="22"/>
        <w:u w:val="single"/>
      </w:rPr>
      <w:t xml:space="preserve"> </w:t>
    </w:r>
  </w:p>
  <w:p w:rsidR="00255515" w:rsidRDefault="00255515" w:rsidP="000D201B">
    <w:pPr>
      <w:pStyle w:val="Header"/>
      <w:tabs>
        <w:tab w:val="left" w:pos="1260"/>
      </w:tabs>
      <w:spacing w:before="120"/>
      <w:rPr>
        <w:rFonts w:ascii="Arial" w:hAnsi="Arial" w:cs="Arial"/>
        <w:b/>
        <w:sz w:val="22"/>
        <w:szCs w:val="22"/>
      </w:rPr>
    </w:pPr>
    <w:r>
      <w:rPr>
        <w:rFonts w:ascii="Arial" w:hAnsi="Arial" w:cs="Arial"/>
        <w:b/>
        <w:sz w:val="22"/>
        <w:szCs w:val="22"/>
      </w:rPr>
      <w:t>Minister for Natural Resources and Mines</w:t>
    </w:r>
  </w:p>
  <w:p w:rsidR="00255515" w:rsidRDefault="00255515" w:rsidP="000D201B">
    <w:pPr>
      <w:pStyle w:val="Header"/>
      <w:tabs>
        <w:tab w:val="left" w:pos="1260"/>
      </w:tabs>
      <w:rPr>
        <w:rFonts w:ascii="Arial" w:hAnsi="Arial" w:cs="Arial"/>
        <w:b/>
        <w:sz w:val="22"/>
        <w:szCs w:val="22"/>
      </w:rPr>
    </w:pPr>
    <w:r>
      <w:rPr>
        <w:rFonts w:ascii="Arial" w:hAnsi="Arial" w:cs="Arial"/>
        <w:b/>
        <w:sz w:val="22"/>
        <w:szCs w:val="22"/>
      </w:rPr>
      <w:t>Minister for Environment and Heritage Protection</w:t>
    </w:r>
  </w:p>
  <w:p w:rsidR="00255515" w:rsidRPr="000D201B" w:rsidRDefault="00255515" w:rsidP="00205446">
    <w:pPr>
      <w:pStyle w:val="Header"/>
      <w:pBdr>
        <w:bottom w:val="single" w:sz="4" w:space="1" w:color="auto"/>
      </w:pBdr>
      <w:tabs>
        <w:tab w:val="left" w:pos="126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2E781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A8A31A"/>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0C832B41"/>
    <w:multiLevelType w:val="hybridMultilevel"/>
    <w:tmpl w:val="238E86CA"/>
    <w:lvl w:ilvl="0" w:tplc="3822E2BA">
      <w:start w:val="1"/>
      <w:numFmt w:val="lowerLetter"/>
      <w:lvlText w:val="(%1)"/>
      <w:lvlJc w:val="left"/>
      <w:pPr>
        <w:tabs>
          <w:tab w:val="num" w:pos="626"/>
        </w:tabs>
        <w:ind w:left="700" w:hanging="340"/>
      </w:pPr>
      <w:rPr>
        <w:rFonts w:cs="Times New Roman" w:hint="default"/>
      </w:rPr>
    </w:lvl>
    <w:lvl w:ilvl="1" w:tplc="7D2461EE">
      <w:start w:val="1"/>
      <w:numFmt w:val="bullet"/>
      <w:lvlText w:val=""/>
      <w:lvlJc w:val="left"/>
      <w:pPr>
        <w:tabs>
          <w:tab w:val="num" w:pos="1647"/>
        </w:tabs>
        <w:ind w:left="1647" w:hanging="567"/>
      </w:pPr>
      <w:rPr>
        <w:rFonts w:ascii="Symbol" w:hAnsi="Symbol" w:hint="default"/>
      </w:rPr>
    </w:lvl>
    <w:lvl w:ilvl="2" w:tplc="7D2461EE">
      <w:start w:val="1"/>
      <w:numFmt w:val="bullet"/>
      <w:lvlText w:val=""/>
      <w:lvlJc w:val="left"/>
      <w:pPr>
        <w:tabs>
          <w:tab w:val="num" w:pos="2547"/>
        </w:tabs>
        <w:ind w:left="2547" w:hanging="567"/>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C510D1"/>
    <w:multiLevelType w:val="hybridMultilevel"/>
    <w:tmpl w:val="E954E1A8"/>
    <w:lvl w:ilvl="0" w:tplc="27F68ED4">
      <w:start w:val="1"/>
      <w:numFmt w:val="decimal"/>
      <w:lvlText w:val="%1."/>
      <w:lvlJc w:val="left"/>
      <w:pPr>
        <w:tabs>
          <w:tab w:val="num" w:pos="567"/>
        </w:tabs>
        <w:ind w:left="567" w:hanging="567"/>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87B6D55"/>
    <w:multiLevelType w:val="hybridMultilevel"/>
    <w:tmpl w:val="F42CDFB2"/>
    <w:lvl w:ilvl="0" w:tplc="3822E2BA">
      <w:start w:val="1"/>
      <w:numFmt w:val="lowerLetter"/>
      <w:lvlText w:val="(%1)"/>
      <w:lvlJc w:val="left"/>
      <w:pPr>
        <w:tabs>
          <w:tab w:val="num" w:pos="626"/>
        </w:tabs>
        <w:ind w:left="70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7D2461EE">
      <w:start w:val="1"/>
      <w:numFmt w:val="bullet"/>
      <w:lvlText w:val=""/>
      <w:lvlJc w:val="left"/>
      <w:pPr>
        <w:tabs>
          <w:tab w:val="num" w:pos="2547"/>
        </w:tabs>
        <w:ind w:left="2547" w:hanging="567"/>
      </w:pPr>
      <w:rPr>
        <w:rFonts w:ascii="Symbol" w:hAnsi="Symbol"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F8907CD"/>
    <w:multiLevelType w:val="multilevel"/>
    <w:tmpl w:val="2396A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3"/>
        </w:tabs>
        <w:ind w:left="1443" w:hanging="36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601426B4"/>
    <w:multiLevelType w:val="multilevel"/>
    <w:tmpl w:val="F42CDFB2"/>
    <w:lvl w:ilvl="0">
      <w:start w:val="1"/>
      <w:numFmt w:val="lowerLetter"/>
      <w:lvlText w:val="(%1)"/>
      <w:lvlJc w:val="left"/>
      <w:pPr>
        <w:tabs>
          <w:tab w:val="num" w:pos="626"/>
        </w:tabs>
        <w:ind w:left="70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547"/>
        </w:tabs>
        <w:ind w:left="2547" w:hanging="567"/>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68F41B55"/>
    <w:multiLevelType w:val="hybridMultilevel"/>
    <w:tmpl w:val="9E2A4008"/>
    <w:lvl w:ilvl="0" w:tplc="3822E2BA">
      <w:start w:val="1"/>
      <w:numFmt w:val="lowerLetter"/>
      <w:lvlText w:val="(%1)"/>
      <w:lvlJc w:val="left"/>
      <w:pPr>
        <w:tabs>
          <w:tab w:val="num" w:pos="626"/>
        </w:tabs>
        <w:ind w:left="700" w:hanging="34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11"/>
  </w:num>
  <w:num w:numId="24">
    <w:abstractNumId w:val="10"/>
  </w:num>
  <w:num w:numId="25">
    <w:abstractNumId w:val="6"/>
  </w:num>
  <w:num w:numId="26">
    <w:abstractNumId w:val="8"/>
  </w:num>
  <w:num w:numId="27">
    <w:abstractNumId w:val="4"/>
  </w:num>
  <w:num w:numId="28">
    <w:abstractNumId w:val="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7"/>
  </w:num>
  <w:num w:numId="32">
    <w:abstractNumId w:val="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C"/>
    <w:rsid w:val="00003FF4"/>
    <w:rsid w:val="000430DD"/>
    <w:rsid w:val="000724B2"/>
    <w:rsid w:val="00080F8F"/>
    <w:rsid w:val="00097371"/>
    <w:rsid w:val="000D201B"/>
    <w:rsid w:val="00107F76"/>
    <w:rsid w:val="00111244"/>
    <w:rsid w:val="00140936"/>
    <w:rsid w:val="00175D57"/>
    <w:rsid w:val="00197038"/>
    <w:rsid w:val="001A7DB6"/>
    <w:rsid w:val="001E0BF7"/>
    <w:rsid w:val="001E1C47"/>
    <w:rsid w:val="001E209B"/>
    <w:rsid w:val="002028C1"/>
    <w:rsid w:val="00205446"/>
    <w:rsid w:val="0021344B"/>
    <w:rsid w:val="0025467F"/>
    <w:rsid w:val="00255515"/>
    <w:rsid w:val="0026156C"/>
    <w:rsid w:val="00261695"/>
    <w:rsid w:val="00331B2C"/>
    <w:rsid w:val="00341277"/>
    <w:rsid w:val="003922C5"/>
    <w:rsid w:val="003B5871"/>
    <w:rsid w:val="003C5DA0"/>
    <w:rsid w:val="0040717F"/>
    <w:rsid w:val="00436E21"/>
    <w:rsid w:val="004522E2"/>
    <w:rsid w:val="00461498"/>
    <w:rsid w:val="0047702E"/>
    <w:rsid w:val="00495E89"/>
    <w:rsid w:val="004A3620"/>
    <w:rsid w:val="004D14F6"/>
    <w:rsid w:val="004E3AE1"/>
    <w:rsid w:val="004E6E31"/>
    <w:rsid w:val="004E743F"/>
    <w:rsid w:val="00501C66"/>
    <w:rsid w:val="0054055E"/>
    <w:rsid w:val="00564D35"/>
    <w:rsid w:val="00570C08"/>
    <w:rsid w:val="005865EF"/>
    <w:rsid w:val="0059100F"/>
    <w:rsid w:val="00657314"/>
    <w:rsid w:val="0067123E"/>
    <w:rsid w:val="006A2587"/>
    <w:rsid w:val="006D56F2"/>
    <w:rsid w:val="00715200"/>
    <w:rsid w:val="00732E22"/>
    <w:rsid w:val="00740EF5"/>
    <w:rsid w:val="00767DF7"/>
    <w:rsid w:val="00782A74"/>
    <w:rsid w:val="007A110A"/>
    <w:rsid w:val="007C36BF"/>
    <w:rsid w:val="00825F98"/>
    <w:rsid w:val="008A4523"/>
    <w:rsid w:val="008D4499"/>
    <w:rsid w:val="008E15C4"/>
    <w:rsid w:val="008E2E80"/>
    <w:rsid w:val="008F42DD"/>
    <w:rsid w:val="008F44CD"/>
    <w:rsid w:val="00950178"/>
    <w:rsid w:val="009535B7"/>
    <w:rsid w:val="0095385D"/>
    <w:rsid w:val="0096233A"/>
    <w:rsid w:val="00965761"/>
    <w:rsid w:val="00993369"/>
    <w:rsid w:val="009E1B39"/>
    <w:rsid w:val="009E6B98"/>
    <w:rsid w:val="00A527A5"/>
    <w:rsid w:val="00A67905"/>
    <w:rsid w:val="00A722F0"/>
    <w:rsid w:val="00A86CEB"/>
    <w:rsid w:val="00AA1533"/>
    <w:rsid w:val="00AC4850"/>
    <w:rsid w:val="00B3715D"/>
    <w:rsid w:val="00B829DE"/>
    <w:rsid w:val="00B874B4"/>
    <w:rsid w:val="00BB13AA"/>
    <w:rsid w:val="00BB3A75"/>
    <w:rsid w:val="00BD5926"/>
    <w:rsid w:val="00BE726C"/>
    <w:rsid w:val="00C07656"/>
    <w:rsid w:val="00C10A9A"/>
    <w:rsid w:val="00C13D7F"/>
    <w:rsid w:val="00C324A2"/>
    <w:rsid w:val="00C57047"/>
    <w:rsid w:val="00C71FE2"/>
    <w:rsid w:val="00C91B86"/>
    <w:rsid w:val="00CE12BF"/>
    <w:rsid w:val="00CE6FBA"/>
    <w:rsid w:val="00CF0D8A"/>
    <w:rsid w:val="00D24C88"/>
    <w:rsid w:val="00D6589B"/>
    <w:rsid w:val="00D75134"/>
    <w:rsid w:val="00D751EC"/>
    <w:rsid w:val="00DA5B46"/>
    <w:rsid w:val="00DA66F0"/>
    <w:rsid w:val="00DB6FE7"/>
    <w:rsid w:val="00DE61EC"/>
    <w:rsid w:val="00E00530"/>
    <w:rsid w:val="00E516EE"/>
    <w:rsid w:val="00E62036"/>
    <w:rsid w:val="00E6405E"/>
    <w:rsid w:val="00E65D86"/>
    <w:rsid w:val="00ED08E9"/>
    <w:rsid w:val="00EE3EE5"/>
    <w:rsid w:val="00EE4608"/>
    <w:rsid w:val="00F10DF9"/>
    <w:rsid w:val="00F47E07"/>
    <w:rsid w:val="00F639C4"/>
    <w:rsid w:val="00F70175"/>
    <w:rsid w:val="00F74B14"/>
    <w:rsid w:val="00F92479"/>
    <w:rsid w:val="00FA18D8"/>
    <w:rsid w:val="00FD4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Number5">
    <w:name w:val="List Number 5"/>
    <w:basedOn w:val="ListNumber4"/>
    <w:uiPriority w:val="99"/>
    <w:rsid w:val="00E516EE"/>
    <w:pPr>
      <w:numPr>
        <w:numId w:val="9"/>
      </w:numPr>
      <w:tabs>
        <w:tab w:val="num" w:pos="567"/>
        <w:tab w:val="num" w:pos="626"/>
      </w:tabs>
      <w:spacing w:before="120" w:after="60"/>
      <w:ind w:left="360" w:right="-6"/>
      <w:jc w:val="both"/>
    </w:pPr>
    <w:rPr>
      <w:rFonts w:ascii="Arial" w:hAnsi="Arial" w:cs="Arial"/>
      <w:color w:val="auto"/>
      <w:sz w:val="22"/>
      <w:szCs w:val="22"/>
    </w:rPr>
  </w:style>
  <w:style w:type="paragraph" w:styleId="ListNumber4">
    <w:name w:val="List Number 4"/>
    <w:basedOn w:val="Normal"/>
    <w:uiPriority w:val="99"/>
    <w:rsid w:val="00E516EE"/>
    <w:pPr>
      <w:numPr>
        <w:numId w:val="8"/>
      </w:numPr>
      <w:tabs>
        <w:tab w:val="num" w:pos="567"/>
        <w:tab w:val="num" w:pos="626"/>
      </w:tabs>
      <w:ind w:left="567" w:hanging="567"/>
    </w:pPr>
  </w:style>
  <w:style w:type="character" w:styleId="CommentReference">
    <w:name w:val="annotation reference"/>
    <w:uiPriority w:val="99"/>
    <w:semiHidden/>
    <w:rsid w:val="00BB3A75"/>
    <w:rPr>
      <w:rFonts w:cs="Times New Roman"/>
      <w:sz w:val="16"/>
      <w:szCs w:val="16"/>
    </w:rPr>
  </w:style>
  <w:style w:type="paragraph" w:styleId="CommentText">
    <w:name w:val="annotation text"/>
    <w:basedOn w:val="Normal"/>
    <w:link w:val="CommentTextChar"/>
    <w:uiPriority w:val="99"/>
    <w:semiHidden/>
    <w:rsid w:val="00BB3A75"/>
    <w:rPr>
      <w:sz w:val="20"/>
    </w:rPr>
  </w:style>
  <w:style w:type="character" w:customStyle="1" w:styleId="CommentTextChar">
    <w:name w:val="Comment Text Char"/>
    <w:link w:val="CommentText"/>
    <w:uiPriority w:val="99"/>
    <w:semiHidden/>
    <w:locked/>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BB3A75"/>
    <w:rPr>
      <w:b/>
      <w:bCs/>
    </w:rPr>
  </w:style>
  <w:style w:type="character" w:customStyle="1" w:styleId="CommentSubjectChar">
    <w:name w:val="Comment Subject Char"/>
    <w:link w:val="CommentSubject"/>
    <w:uiPriority w:val="99"/>
    <w:semiHidden/>
    <w:locked/>
    <w:rPr>
      <w:rFonts w:ascii="Times New Roman" w:hAnsi="Times New Roman" w:cs="Times New Roman"/>
      <w:b/>
      <w:bCs/>
      <w:color w:val="000000"/>
      <w:sz w:val="20"/>
      <w:szCs w:val="20"/>
    </w:rPr>
  </w:style>
  <w:style w:type="character" w:styleId="Hyperlink">
    <w:name w:val="Hyperlink"/>
    <w:uiPriority w:val="99"/>
    <w:rsid w:val="009535B7"/>
    <w:rPr>
      <w:rFonts w:cs="Times New Roman"/>
      <w:color w:val="0000FF"/>
      <w:u w:val="single"/>
    </w:rPr>
  </w:style>
  <w:style w:type="character" w:styleId="FollowedHyperlink">
    <w:name w:val="FollowedHyperlink"/>
    <w:uiPriority w:val="99"/>
    <w:rsid w:val="009535B7"/>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DEHP%20review.pdf" TargetMode="External"/><Relationship Id="rId3" Type="http://schemas.openxmlformats.org/officeDocument/2006/relationships/settings" Target="settings.xml"/><Relationship Id="rId7" Type="http://schemas.openxmlformats.org/officeDocument/2006/relationships/hyperlink" Target="Attachments/Oil%20Shale%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ellamymccourta\Local%20Settings\Temporary%20Internet%20Files\OLKE\Proactive%20Release%20-%20submission%20decision%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 submission decision summary.dot</Template>
  <TotalTime>0</TotalTime>
  <Pages>1</Pages>
  <Words>381</Words>
  <Characters>2169</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2543</CharactersWithSpaces>
  <SharedDoc>false</SharedDoc>
  <HyperlinkBase>https://www.cabinet.qld.gov.au/documents/2013/Feb/Oil Shale/</HyperlinkBase>
  <HLinks>
    <vt:vector size="12" baseType="variant">
      <vt:variant>
        <vt:i4>8192033</vt:i4>
      </vt:variant>
      <vt:variant>
        <vt:i4>3</vt:i4>
      </vt:variant>
      <vt:variant>
        <vt:i4>0</vt:i4>
      </vt:variant>
      <vt:variant>
        <vt:i4>5</vt:i4>
      </vt:variant>
      <vt:variant>
        <vt:lpwstr>Attachments/DEHP review.pdf</vt:lpwstr>
      </vt:variant>
      <vt:variant>
        <vt:lpwstr/>
      </vt:variant>
      <vt:variant>
        <vt:i4>4653127</vt:i4>
      </vt:variant>
      <vt:variant>
        <vt:i4>0</vt:i4>
      </vt:variant>
      <vt:variant>
        <vt:i4>0</vt:i4>
      </vt:variant>
      <vt:variant>
        <vt:i4>5</vt:i4>
      </vt:variant>
      <vt:variant>
        <vt:lpwstr>Attachments/Oil Shale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2013-01-30T04:26:00Z</cp:lastPrinted>
  <dcterms:created xsi:type="dcterms:W3CDTF">2017-10-25T00:50:00Z</dcterms:created>
  <dcterms:modified xsi:type="dcterms:W3CDTF">2018-03-06T01:18:00Z</dcterms:modified>
  <cp:category>Mining,Oil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1135981006</vt:i4>
  </property>
  <property fmtid="{D5CDD505-2E9C-101B-9397-08002B2CF9AE}" pid="4" name="_ReviewingToolsShownOnce">
    <vt:lpwstr/>
  </property>
</Properties>
</file>